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2"/>
    <w:p>
      <w:pPr>
        <w:pStyle w:val="Heading1"/>
      </w:pPr>
      <w:r>
        <w:t xml:space="preserve">Homiletics Analysis: Exodus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22 continues and deepens the case law collection begun in Exodus 21, presenting a dense sequence of ordinances governing theft, property damage, deposits and borrowing, sexual ethics, and Israel’s obligations toward the vulnerable. The chapter moves through six distinguishable legal domains: laws on theft and restitution (vv. 1–15), laws on sexual violation and bride-price (v. 16–17), capital prohibitions against sorcery, bestiality, and idolatry (vv. 18–20), laws protecting the alien, widow, and orphan (vv. 21–24), laws on lending and pledges (vv. 25–27), and laws on firstfruits, firstborn offerings, and consecration (vv. 28–31). The chapter is not a random catalogue. It moves from property violations outward to covenant identity violations, and from community ethics inward to covenantal consecration before God. Beneath this legal diversity, a single governing logic operates: Israel is a redeemed people whose common life must image the character of the God who redeemed them, and whose treatment of the vulnerable reflects whether they have understood what redemption means.</w:t>
      </w:r>
    </w:p>
    <w:p>
      <w:pPr>
        <w:pStyle w:val="BodyText"/>
      </w:pPr>
      <w:r>
        <w:rPr>
          <w:b/>
          <w:bCs/>
        </w:rPr>
        <w:t xml:space="preserve">This Text — Intent</w:t>
      </w:r>
    </w:p>
    <w:p>
      <w:pPr>
        <w:pStyle w:val="BodyText"/>
      </w:pPr>
      <w:r>
        <w:t xml:space="preserve">God is pressing Israel — and every reader — to answer a searching question:</w:t>
      </w:r>
      <w:r>
        <w:t xml:space="preserve"> </w:t>
      </w:r>
      <w:r>
        <w:rPr>
          <w:i/>
          <w:iCs/>
        </w:rPr>
        <w:t xml:space="preserve">Does your treatment of the neighbor, the poor, the alien, and the vulnerable display the character of the God who showed you mercy, or does it reveal that redemption has remained merely transactional?</w:t>
      </w:r>
      <w:r>
        <w:t xml:space="preserve"> </w:t>
      </w:r>
      <w:r>
        <w:t xml:space="preserve">The chapter does not merely regulate behavior; it exposes the interior of a community’s theology. The laws on the alien and widow do not appeal to legal obligation alone — they appeal to Israel’s memory (</w:t>
      </w:r>
      <w:r>
        <w:t xml:space="preserve">“for you were sojourners in Egypt,”</w:t>
      </w:r>
      <w:r>
        <w:t xml:space="preserve"> </w:t>
      </w:r>
      <w:r>
        <w:t xml:space="preserve">v. 21) and to God’s direct personal response when the poor cry out to Him (vv. 22–24, 27). The intent is not compliance but transformation: a people shaped by grace who instinctively extend grace, who protect rather than exploit, who hold possessions loosely because they know what it cost to be redeemed from bondage.</w:t>
      </w:r>
    </w:p>
    <w:p>
      <w:r>
        <w:pict>
          <v:rect style="width:0;height:1.5pt" o:hralign="center" o:hrstd="t" o:hr="t"/>
        </w:pict>
      </w:r>
    </w:p>
    <w:p>
      <w:pPr>
        <w:pStyle w:val="FirstParagraph"/>
      </w:pPr>
      <w:r>
        <w:rPr>
          <w:b/>
          <w:bCs/>
        </w:rPr>
        <w:t xml:space="preserve">Subject Sentence:</w:t>
      </w:r>
      <w:r>
        <w:t xml:space="preserve"> </w:t>
      </w:r>
      <w:r>
        <w:t xml:space="preserve">Redeemed Israel is called to a community life that images God’s character — protecting the vulnerable, punishing violation, and consecrating all to the LORD.</w:t>
      </w:r>
    </w:p>
    <w:p>
      <w:r>
        <w:pict>
          <v:rect style="width:0;height:1.5pt" o:hralign="center" o:hrstd="t" o:hr="t"/>
        </w:pict>
      </w:r>
    </w:p>
    <w:p>
      <w:pPr>
        <w:pStyle w:val="FirstParagraph"/>
      </w:pPr>
      <w:r>
        <w:rPr>
          <w:b/>
          <w:bCs/>
        </w:rPr>
        <w:t xml:space="preserve">Primary Claim:</w:t>
      </w:r>
      <w:r>
        <w:t xml:space="preserve"> </w:t>
      </w:r>
      <w:r>
        <w:t xml:space="preserve">Because Israel has been redeemed by a God who hears the cry of the oppressed and is jealous for His own name, every dimension of their common life — property, sexuality, lending, worship — must bear the mark of that redemption; a community that exploits the vulnerable or tolerates covenant violation has not understood what it means to be saved.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relationship between case law and the Christian reader</w:t>
      </w:r>
    </w:p>
    <w:p>
      <w:pPr>
        <w:pStyle w:val="BodyText"/>
      </w:pPr>
      <w:r>
        <w:t xml:space="preserve">The most significant interpretive question for Exodus 22 is hermeneutical: in what sense, if any, do these civil ordinances bind the New Covenant community? Three positions are in play. Theonomists (Bahnsen, North) argue these laws retain binding civil authority and should govern magistrates today; their penalties, including the death penalties of vv. 18–20, remain the normative standard. At the other extreme, some dispensational and new covenant readings treat all Mosaic civil legislation as entirely abrogated — historically interesting but categorically inapplicable. The Reformed tradition navigates between these with the threefold law distinction (moral/ceremonial/civil): the moral law (Decalogue) retains permanent binding authority; ceremonial laws are fulfilled in Christ; civil laws given to Israel as a theocratic nation are no longer directly binding, but their</w:t>
      </w:r>
      <w:r>
        <w:t xml:space="preserve"> </w:t>
      </w:r>
      <w:r>
        <w:rPr>
          <w:i/>
          <w:iCs/>
        </w:rPr>
        <w:t xml:space="preserve">moral equity</w:t>
      </w:r>
      <w:r>
        <w:t xml:space="preserve"> </w:t>
      </w:r>
      <w:r>
        <w:t xml:space="preserve">— the underlying principle of justice embedded in them — retains permanent instructive authority (WCF 19.4).</w:t>
      </w:r>
    </w:p>
    <w:p>
      <w:pPr>
        <w:pStyle w:val="BodyText"/>
      </w:pPr>
      <w:r>
        <w:t xml:space="preserve">The Reformed reading is preferred here on both exegetical and canonical grounds. The civil laws of Exodus 22 are intelligible as applications of the Decalogue to specific social conditions — the laws on theft and restitution apply the eighth commandment; the laws protecting the widow and alien apply the sixth and ninth; the laws on idolatry and sorcery apply the first and second. These underlying moral principles are not abrogated by the New Covenant; their theocratic application in Israel’s specific civil context is. The death penalty for sorcery (v. 18) is not the standard for modern criminal codes, but the principle that sorcery is a covenant-destroying offense against the living God retains full force. The preacher should acknowledge the interpretive complexity without being paralyzed by it — these laws are preachable precisely</w:t>
      </w:r>
      <w:r>
        <w:t xml:space="preserve"> </w:t>
      </w:r>
      <w:r>
        <w:rPr>
          <w:i/>
          <w:iCs/>
        </w:rPr>
        <w:t xml:space="preserve">because</w:t>
      </w:r>
      <w:r>
        <w:t xml:space="preserve"> </w:t>
      </w:r>
      <w:r>
        <w:t xml:space="preserve">their moral equity surfaces permanent, binding truths about God’s character and His community’s obligation.</w:t>
      </w:r>
    </w:p>
    <w:p>
      <w:pPr>
        <w:pStyle w:val="BodyText"/>
      </w:pPr>
      <w:r>
        <w:rPr>
          <w:b/>
          <w:bCs/>
        </w:rPr>
        <w:t xml:space="preserve">On the laws protecting the alien, widow, and orphan (vv. 21–24)</w:t>
      </w:r>
    </w:p>
    <w:p>
      <w:pPr>
        <w:pStyle w:val="BodyText"/>
      </w:pPr>
      <w:r>
        <w:t xml:space="preserve">Some readings — particularly in progressive and liberation theology traditions — treat these verses as the theological center of the chapter and of Mosaic ethics broadly, effectively reducing the whole to a social justice mandate. This partially holds: God’s passionate defense of the vulnerable is genuinely central here, and vv. 22–24 are among the most direct divine warnings anywhere in the Pentateuch. The Reformed reading qualifies but does not refute this emphasis. The social concern in vv. 21–24 is not detached from the worship commands in vv. 28–31, nor from the capital prohibitions of vv. 18–20. They form a unity: a people consecrated to the LORD will protect His image-bearers; a people who exploit the poor reveal a disordered worship. The liberation reading abstracts the social concern from its covenantal grounding; the Reformed reading insists they cannot be separated without distorting both.</w:t>
      </w:r>
    </w:p>
    <w:p>
      <w:pPr>
        <w:pStyle w:val="BodyText"/>
      </w:pPr>
      <w:r>
        <w:rPr>
          <w:b/>
          <w:bCs/>
        </w:rPr>
        <w:t xml:space="preserve">On the lending laws (vv. 25–27) and the cloak as pledge</w:t>
      </w:r>
    </w:p>
    <w:p>
      <w:pPr>
        <w:pStyle w:val="BodyText"/>
      </w:pPr>
      <w:r>
        <w:t xml:space="preserve">The prohibition on charging interest to the poor (v. 25) has generated sharp debate. Roman Catholic tradition historically applied this broadly, generating medieval prohibitions on usury. Some Anabaptist readings treat it as a model for radical economic sharing. The Reformed tradition reads it contextually: this is a law protecting subsistence-level lending among covenant community members, not a universal prohibition on commercial interest. The moral equity is clear and permanent: never leverage another person’s destitution for personal gain. The cloak-as-pledge illustration (vv. 26–27) — God’s personal notice of the poor man’s cold night — is not an illustration of a legal technicality. It is a disclosure of God’s character: He hears, He is compassionate, He acts. This is the deepest hermeneutical key to the whole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19:9–18, 33–34</w:t>
      </w:r>
      <w:r>
        <w:t xml:space="preserve"> </w:t>
      </w:r>
      <w:r>
        <w:t xml:space="preserve">— The Holiness Code repeats and deepens the Exodus 22 obligations, explicitly grounding care for the alien in</w:t>
      </w:r>
      <w:r>
        <w:t xml:space="preserve"> </w:t>
      </w:r>
      <w:r>
        <w:t xml:space="preserve">“I am the LORD your God”</w:t>
      </w:r>
      <w:r>
        <w:t xml:space="preserve"> </w:t>
      </w:r>
      <w:r>
        <w:t xml:space="preserve">— confirming that Israel’s social ethics are inseparable from her theology of God’s character.</w:t>
      </w:r>
    </w:p>
    <w:p>
      <w:pPr>
        <w:numPr>
          <w:ilvl w:val="0"/>
          <w:numId w:val="1001"/>
        </w:numPr>
      </w:pPr>
      <w:r>
        <w:rPr>
          <w:b/>
          <w:bCs/>
        </w:rPr>
        <w:t xml:space="preserve">Deuteronomy 24:10–22</w:t>
      </w:r>
      <w:r>
        <w:t xml:space="preserve"> </w:t>
      </w:r>
      <w:r>
        <w:t xml:space="preserve">— Moses restates the pledge and gleaning laws, again grounding them in Israel’s Egypt-memory:</w:t>
      </w:r>
      <w:r>
        <w:t xml:space="preserve"> </w:t>
      </w:r>
      <w:r>
        <w:t xml:space="preserve">“you shall remember that you were a slave in Egypt”</w:t>
      </w:r>
      <w:r>
        <w:t xml:space="preserve"> </w:t>
      </w:r>
      <w:r>
        <w:t xml:space="preserve">— the same redemptive logic that drives Exodus 22:21.</w:t>
      </w:r>
    </w:p>
    <w:p>
      <w:pPr>
        <w:numPr>
          <w:ilvl w:val="0"/>
          <w:numId w:val="1001"/>
        </w:numPr>
      </w:pPr>
      <w:r>
        <w:rPr>
          <w:b/>
          <w:bCs/>
        </w:rPr>
        <w:t xml:space="preserve">Isaiah 1:10–17; Amos 2:6–8; 5:21–24</w:t>
      </w:r>
      <w:r>
        <w:t xml:space="preserve"> </w:t>
      </w:r>
      <w:r>
        <w:t xml:space="preserve">— The prophets indict Israel precisely for violating the Exodus 22 vision: exploiting the poor, grinding the widow, oppressing the alien — while maintaining religious performance. These passages confirm that Exodus 22 is not peripheral legislation but the beating heart of covenant fidelity.</w:t>
      </w:r>
    </w:p>
    <w:p>
      <w:pPr>
        <w:numPr>
          <w:ilvl w:val="0"/>
          <w:numId w:val="1001"/>
        </w:numPr>
      </w:pPr>
      <w:r>
        <w:rPr>
          <w:b/>
          <w:bCs/>
        </w:rPr>
        <w:t xml:space="preserve">Matthew 25:31–46</w:t>
      </w:r>
      <w:r>
        <w:t xml:space="preserve"> </w:t>
      </w:r>
      <w:r>
        <w:t xml:space="preserve">— Jesus’s parable of the sheep and goats locates the judgment of the nations on exactly the axis Exodus 22 establishes: treatment of the hungry, the stranger, the naked, the prisoner. The</w:t>
      </w:r>
      <w:r>
        <w:t xml:space="preserve"> </w:t>
      </w:r>
      <w:r>
        <w:t xml:space="preserve">“least of these”</w:t>
      </w:r>
      <w:r>
        <w:t xml:space="preserve"> </w:t>
      </w:r>
      <w:r>
        <w:t xml:space="preserve">language echoes the widow, alien, and orphan cluster of Exodus 22.</w:t>
      </w:r>
    </w:p>
    <w:p>
      <w:pPr>
        <w:numPr>
          <w:ilvl w:val="0"/>
          <w:numId w:val="1001"/>
        </w:numPr>
      </w:pPr>
      <w:r>
        <w:rPr>
          <w:b/>
          <w:bCs/>
        </w:rPr>
        <w:t xml:space="preserve">James 1:27; 2:1–17</w:t>
      </w:r>
      <w:r>
        <w:t xml:space="preserve"> </w:t>
      </w:r>
      <w:r>
        <w:t xml:space="preserve">— James’s definition of pure religion (caring for orphans and widows) and his assault on class-based favoritism in the assembly reflect the Exodus 22 ethic carried into New Covenant application — the poor must not be exploited by the community that claims to worship the God who hears their cry.</w:t>
      </w:r>
    </w:p>
    <w:p>
      <w:r>
        <w:pict>
          <v:rect style="width:0;height:1.5pt" o:hralign="center" o:hrstd="t" o:hr="t"/>
        </w:pict>
      </w:r>
    </w:p>
    <w:p>
      <w:pPr>
        <w:pStyle w:val="FirstParagraph"/>
      </w:pPr>
      <w:r>
        <w:rPr>
          <w:b/>
          <w:bCs/>
        </w:rPr>
        <w:t xml:space="preserve">Aim:</w:t>
      </w:r>
      <w:r>
        <w:t xml:space="preserve"> </w:t>
      </w:r>
      <w:r>
        <w:t xml:space="preserve">To demonstrate that the diversity of Exodus 22’s laws coheres around a single gospel logic — that redeemed people image their Redeemer — so that the hearer cannot treat the vulnerable as a problem to manage or a cause to champion without first encountering the God whose character is the ground of the obligation.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Restitution for stolen ox (5:1) and sheep (4:1)</w:t>
            </w:r>
          </w:p>
        </w:tc>
        <w:tc>
          <w:tcPr/>
          <w:p>
            <w:pPr>
              <w:pStyle w:val="Compact"/>
            </w:pPr>
            <w:r>
              <w:t xml:space="preserve">Higher restitution for ox reflects its greater economic loss to the owner; the law incentivizes prevention over prosecution</w:t>
            </w:r>
          </w:p>
        </w:tc>
      </w:tr>
      <w:tr>
        <w:tc>
          <w:tcPr/>
          <w:p>
            <w:pPr>
              <w:pStyle w:val="Compact"/>
            </w:pPr>
            <w:r>
              <w:t xml:space="preserve">2–3</w:t>
            </w:r>
          </w:p>
        </w:tc>
        <w:tc>
          <w:tcPr/>
          <w:p>
            <w:pPr>
              <w:pStyle w:val="Compact"/>
            </w:pPr>
            <w:r>
              <w:t xml:space="preserve">Homeowner who kills a nighttime thief: no blood guilt; daytime killing: blood guilt</w:t>
            </w:r>
          </w:p>
        </w:tc>
        <w:tc>
          <w:tcPr/>
          <w:p>
            <w:pPr>
              <w:pStyle w:val="Compact"/>
            </w:pPr>
            <w:r>
              <w:t xml:space="preserve">Proportionality principle — force lawful only when threat cannot otherwise be resisted; daylight reduces the presumption of lethal danger</w:t>
            </w:r>
          </w:p>
        </w:tc>
      </w:tr>
      <w:tr>
        <w:tc>
          <w:tcPr/>
          <w:p>
            <w:pPr>
              <w:pStyle w:val="Compact"/>
            </w:pPr>
            <w:r>
              <w:t xml:space="preserve">4</w:t>
            </w:r>
          </w:p>
        </w:tc>
        <w:tc>
          <w:tcPr/>
          <w:p>
            <w:pPr>
              <w:pStyle w:val="Compact"/>
            </w:pPr>
            <w:r>
              <w:t xml:space="preserve">If stolen animal found alive: double restitution</w:t>
            </w:r>
          </w:p>
        </w:tc>
        <w:tc>
          <w:tcPr/>
          <w:p>
            <w:pPr>
              <w:pStyle w:val="Compact"/>
            </w:pPr>
            <w:r>
              <w:t xml:space="preserve">Restitution, not retribution — restoration of loss, plus deterrent</w:t>
            </w:r>
          </w:p>
        </w:tc>
      </w:tr>
      <w:tr>
        <w:tc>
          <w:tcPr/>
          <w:p>
            <w:pPr>
              <w:pStyle w:val="Compact"/>
            </w:pPr>
            <w:r>
              <w:t xml:space="preserve">5</w:t>
            </w:r>
          </w:p>
        </w:tc>
        <w:tc>
          <w:tcPr/>
          <w:p>
            <w:pPr>
              <w:pStyle w:val="Compact"/>
            </w:pPr>
            <w:r>
              <w:t xml:space="preserve">Livestock that grazes another’s field: restitution from owner’s best</w:t>
            </w:r>
          </w:p>
        </w:tc>
        <w:tc>
          <w:tcPr/>
          <w:p>
            <w:pPr>
              <w:pStyle w:val="Compact"/>
            </w:pPr>
            <w:r>
              <w:t xml:space="preserve">Negligence principle: responsible stewardship of what could cause harm</w:t>
            </w:r>
          </w:p>
        </w:tc>
      </w:tr>
      <w:tr>
        <w:tc>
          <w:tcPr/>
          <w:p>
            <w:pPr>
              <w:pStyle w:val="Compact"/>
            </w:pPr>
            <w:r>
              <w:t xml:space="preserve">6</w:t>
            </w:r>
          </w:p>
        </w:tc>
        <w:tc>
          <w:tcPr/>
          <w:p>
            <w:pPr>
              <w:pStyle w:val="Compact"/>
            </w:pPr>
            <w:r>
              <w:t xml:space="preserve">Negligently lit fire that spreads: restitution</w:t>
            </w:r>
          </w:p>
        </w:tc>
        <w:tc>
          <w:tcPr/>
          <w:p>
            <w:pPr>
              <w:pStyle w:val="Compact"/>
            </w:pPr>
            <w:r>
              <w:t xml:space="preserve">Negligence in the public square carries communal liability</w:t>
            </w:r>
          </w:p>
        </w:tc>
      </w:tr>
      <w:tr>
        <w:tc>
          <w:tcPr/>
          <w:p>
            <w:pPr>
              <w:pStyle w:val="Compact"/>
            </w:pPr>
            <w:r>
              <w:t xml:space="preserve">7–8</w:t>
            </w:r>
          </w:p>
        </w:tc>
        <w:tc>
          <w:tcPr/>
          <w:p>
            <w:pPr>
              <w:pStyle w:val="Compact"/>
            </w:pPr>
            <w:r>
              <w:t xml:space="preserve">Disputed theft from a deposit: case before God; guilty party pays double</w:t>
            </w:r>
          </w:p>
        </w:tc>
        <w:tc>
          <w:tcPr/>
          <w:p>
            <w:pPr>
              <w:pStyle w:val="Compact"/>
            </w:pPr>
            <w:r>
              <w:t xml:space="preserve">Community dispute resolution before the Lord — not self-justice</w:t>
            </w:r>
          </w:p>
        </w:tc>
      </w:tr>
      <w:tr>
        <w:tc>
          <w:tcPr/>
          <w:p>
            <w:pPr>
              <w:pStyle w:val="Compact"/>
            </w:pPr>
            <w:r>
              <w:t xml:space="preserve">9</w:t>
            </w:r>
          </w:p>
        </w:tc>
        <w:tc>
          <w:tcPr/>
          <w:p>
            <w:pPr>
              <w:pStyle w:val="Compact"/>
            </w:pPr>
            <w:r>
              <w:t xml:space="preserve">Any disputed property claim: both parties before God; guilty party pays double</w:t>
            </w:r>
          </w:p>
        </w:tc>
        <w:tc>
          <w:tcPr/>
          <w:p>
            <w:pPr>
              <w:pStyle w:val="Compact"/>
            </w:pPr>
            <w:r>
              <w:t xml:space="preserve">Principle of divine witness in all civil disputes</w:t>
            </w:r>
          </w:p>
        </w:tc>
      </w:tr>
      <w:tr>
        <w:tc>
          <w:tcPr/>
          <w:p>
            <w:pPr>
              <w:pStyle w:val="Compact"/>
            </w:pPr>
            <w:r>
              <w:t xml:space="preserve">10–13</w:t>
            </w:r>
          </w:p>
        </w:tc>
        <w:tc>
          <w:tcPr/>
          <w:p>
            <w:pPr>
              <w:pStyle w:val="Compact"/>
            </w:pPr>
            <w:r>
              <w:t xml:space="preserve">Lost, injured, or stolen borrowed/kept animal: oath required; exceptions for wild animal attack or witnessed theft</w:t>
            </w:r>
          </w:p>
        </w:tc>
        <w:tc>
          <w:tcPr/>
          <w:p>
            <w:pPr>
              <w:pStyle w:val="Compact"/>
            </w:pPr>
            <w:r>
              <w:t xml:space="preserve">Graduated liability based on circumstance and evidence; integrity of oath before God</w:t>
            </w:r>
          </w:p>
        </w:tc>
      </w:tr>
      <w:tr>
        <w:tc>
          <w:tcPr/>
          <w:p>
            <w:pPr>
              <w:pStyle w:val="Compact"/>
            </w:pPr>
            <w:r>
              <w:t xml:space="preserve">14–15</w:t>
            </w:r>
          </w:p>
        </w:tc>
        <w:tc>
          <w:tcPr/>
          <w:p>
            <w:pPr>
              <w:pStyle w:val="Compact"/>
            </w:pPr>
            <w:r>
              <w:t xml:space="preserve">Borrowed animal injured in owner’s absence: full restitution; in owner’s presence or for hire: no restitution</w:t>
            </w:r>
          </w:p>
        </w:tc>
        <w:tc>
          <w:tcPr/>
          <w:p>
            <w:pPr>
              <w:pStyle w:val="Compact"/>
            </w:pPr>
            <w:r>
              <w:t xml:space="preserve">Presence changes liability; commercial transaction has already accounted for risk</w:t>
            </w:r>
          </w:p>
        </w:tc>
      </w:tr>
      <w:tr>
        <w:tc>
          <w:tcPr/>
          <w:p>
            <w:pPr>
              <w:pStyle w:val="Compact"/>
            </w:pPr>
            <w:r>
              <w:t xml:space="preserve">16–17</w:t>
            </w:r>
          </w:p>
        </w:tc>
        <w:tc>
          <w:tcPr/>
          <w:p>
            <w:pPr>
              <w:pStyle w:val="Compact"/>
            </w:pPr>
            <w:r>
              <w:t xml:space="preserve">Man seduces unbetrothed virgin: must marry her and pay bride-price; father may refuse marriage but bride-price still owed</w:t>
            </w:r>
          </w:p>
        </w:tc>
        <w:tc>
          <w:tcPr/>
          <w:p>
            <w:pPr>
              <w:pStyle w:val="Compact"/>
            </w:pPr>
            <w:r>
              <w:t xml:space="preserve">Sexual violation carries full economic and covenantal accountability; protects woman’s future and family honor</w:t>
            </w:r>
          </w:p>
        </w:tc>
      </w:tr>
      <w:tr>
        <w:tc>
          <w:tcPr/>
          <w:p>
            <w:pPr>
              <w:pStyle w:val="Compact"/>
            </w:pPr>
            <w:r>
              <w:t xml:space="preserve">18</w:t>
            </w:r>
          </w:p>
        </w:tc>
        <w:tc>
          <w:tcPr/>
          <w:p>
            <w:pPr>
              <w:pStyle w:val="Compact"/>
            </w:pPr>
            <w:r>
              <w:t xml:space="preserve">Death penalty for sorcery (female sorcerer specified)</w:t>
            </w:r>
          </w:p>
        </w:tc>
        <w:tc>
          <w:tcPr/>
          <w:p>
            <w:pPr>
              <w:pStyle w:val="Compact"/>
            </w:pPr>
            <w:r>
              <w:t xml:space="preserve">Sorcery as direct covenant violation — allegiance to alternative spiritual powers destroys community</w:t>
            </w:r>
          </w:p>
        </w:tc>
      </w:tr>
      <w:tr>
        <w:tc>
          <w:tcPr/>
          <w:p>
            <w:pPr>
              <w:pStyle w:val="Compact"/>
            </w:pPr>
            <w:r>
              <w:t xml:space="preserve">19</w:t>
            </w:r>
          </w:p>
        </w:tc>
        <w:tc>
          <w:tcPr/>
          <w:p>
            <w:pPr>
              <w:pStyle w:val="Compact"/>
            </w:pPr>
            <w:r>
              <w:t xml:space="preserve">Death penalty for bestiality</w:t>
            </w:r>
          </w:p>
        </w:tc>
        <w:tc>
          <w:tcPr/>
          <w:p>
            <w:pPr>
              <w:pStyle w:val="Compact"/>
            </w:pPr>
            <w:r>
              <w:t xml:space="preserve">Violation of created order; Genesis 1-2 categories of kind and distinction are covenant categories</w:t>
            </w:r>
          </w:p>
        </w:tc>
      </w:tr>
      <w:tr>
        <w:tc>
          <w:tcPr/>
          <w:p>
            <w:pPr>
              <w:pStyle w:val="Compact"/>
            </w:pPr>
            <w:r>
              <w:t xml:space="preserve">20</w:t>
            </w:r>
          </w:p>
        </w:tc>
        <w:tc>
          <w:tcPr/>
          <w:p>
            <w:pPr>
              <w:pStyle w:val="Compact"/>
            </w:pPr>
            <w:r>
              <w:t xml:space="preserve">Death penalty for sacrificing to other gods</w:t>
            </w:r>
          </w:p>
        </w:tc>
        <w:tc>
          <w:tcPr/>
          <w:p>
            <w:pPr>
              <w:pStyle w:val="Compact"/>
            </w:pPr>
            <w:r>
              <w:t xml:space="preserve">Idolatry is the root offense — the covenant community’s existence is grounded in exclusive allegiance to the LORD</w:t>
            </w:r>
          </w:p>
        </w:tc>
      </w:tr>
      <w:tr>
        <w:tc>
          <w:tcPr/>
          <w:p>
            <w:pPr>
              <w:pStyle w:val="Compact"/>
            </w:pPr>
            <w:r>
              <w:t xml:space="preserve">21</w:t>
            </w:r>
          </w:p>
        </w:tc>
        <w:tc>
          <w:tcPr/>
          <w:p>
            <w:pPr>
              <w:pStyle w:val="Compact"/>
            </w:pPr>
            <w:r>
              <w:t xml:space="preserve">Do not wrong or oppress the alien (</w:t>
            </w:r>
            <w:r>
              <w:t xml:space="preserve">“for you were aliens in Egypt”</w:t>
            </w:r>
            <w:r>
              <w:t xml:space="preserve">)</w:t>
            </w:r>
          </w:p>
        </w:tc>
        <w:tc>
          <w:tcPr/>
          <w:p>
            <w:pPr>
              <w:pStyle w:val="Compact"/>
            </w:pPr>
            <w:r>
              <w:t xml:space="preserve">Redemptive memory as the ground of social ethics — not mere sympathy but theological obligation</w:t>
            </w:r>
          </w:p>
        </w:tc>
      </w:tr>
      <w:tr>
        <w:tc>
          <w:tcPr/>
          <w:p>
            <w:pPr>
              <w:pStyle w:val="Compact"/>
            </w:pPr>
            <w:r>
              <w:t xml:space="preserve">22–24</w:t>
            </w:r>
          </w:p>
        </w:tc>
        <w:tc>
          <w:tcPr/>
          <w:p>
            <w:pPr>
              <w:pStyle w:val="Compact"/>
            </w:pPr>
            <w:r>
              <w:t xml:space="preserve">Do not afflict widow or orphan; God will hear their cry; His anger will burn; He will kill the oppressors; their own wives will be widowed, their children fatherless</w:t>
            </w:r>
          </w:p>
        </w:tc>
        <w:tc>
          <w:tcPr/>
          <w:p>
            <w:pPr>
              <w:pStyle w:val="Compact"/>
            </w:pPr>
            <w:r>
              <w:t xml:space="preserve">One of the most severe divine warnings in the Pentateuch — God personally guarantees justice for the vulnerable</w:t>
            </w:r>
          </w:p>
        </w:tc>
      </w:tr>
      <w:tr>
        <w:tc>
          <w:tcPr/>
          <w:p>
            <w:pPr>
              <w:pStyle w:val="Compact"/>
            </w:pPr>
            <w:r>
              <w:t xml:space="preserve">25</w:t>
            </w:r>
          </w:p>
        </w:tc>
        <w:tc>
          <w:tcPr/>
          <w:p>
            <w:pPr>
              <w:pStyle w:val="Compact"/>
            </w:pPr>
            <w:r>
              <w:t xml:space="preserve">Do not charge interest to the poor among your people</w:t>
            </w:r>
          </w:p>
        </w:tc>
        <w:tc>
          <w:tcPr/>
          <w:p>
            <w:pPr>
              <w:pStyle w:val="Compact"/>
            </w:pPr>
            <w:r>
              <w:t xml:space="preserve">Lending to the poor is an act of covenant solidarity, not commercial opportunity</w:t>
            </w:r>
          </w:p>
        </w:tc>
      </w:tr>
      <w:tr>
        <w:tc>
          <w:tcPr/>
          <w:p>
            <w:pPr>
              <w:pStyle w:val="Compact"/>
            </w:pPr>
            <w:r>
              <w:t xml:space="preserve">26–27</w:t>
            </w:r>
          </w:p>
        </w:tc>
        <w:tc>
          <w:tcPr/>
          <w:p>
            <w:pPr>
              <w:pStyle w:val="Compact"/>
            </w:pPr>
            <w:r>
              <w:t xml:space="preserve">If you take a cloak as pledge, return it by sunset; God hears the poor man’s cry;</w:t>
            </w:r>
            <w:r>
              <w:t xml:space="preserve"> </w:t>
            </w:r>
            <w:r>
              <w:t xml:space="preserve">“I am compassionate”</w:t>
            </w:r>
          </w:p>
        </w:tc>
        <w:tc>
          <w:tcPr/>
          <w:p>
            <w:pPr>
              <w:pStyle w:val="Compact"/>
            </w:pPr>
            <w:r>
              <w:t xml:space="preserve">The character of God — His compassion, His hearing — is the foundation of the lending law; not merely a legal requirement but a reflection of who God is</w:t>
            </w:r>
          </w:p>
        </w:tc>
      </w:tr>
      <w:tr>
        <w:tc>
          <w:tcPr/>
          <w:p>
            <w:pPr>
              <w:pStyle w:val="Compact"/>
            </w:pPr>
            <w:r>
              <w:t xml:space="preserve">28</w:t>
            </w:r>
          </w:p>
        </w:tc>
        <w:tc>
          <w:tcPr/>
          <w:p>
            <w:pPr>
              <w:pStyle w:val="Compact"/>
            </w:pPr>
            <w:r>
              <w:t xml:space="preserve">Do not revile God; do not curse your ruler</w:t>
            </w:r>
          </w:p>
        </w:tc>
        <w:tc>
          <w:tcPr/>
          <w:p>
            <w:pPr>
              <w:pStyle w:val="Compact"/>
            </w:pPr>
            <w:r>
              <w:t xml:space="preserve">Order in worship and in community governance reflects covenantal submission</w:t>
            </w:r>
          </w:p>
        </w:tc>
      </w:tr>
      <w:tr>
        <w:tc>
          <w:tcPr/>
          <w:p>
            <w:pPr>
              <w:pStyle w:val="Compact"/>
            </w:pPr>
            <w:r>
              <w:t xml:space="preserve">29–30</w:t>
            </w:r>
          </w:p>
        </w:tc>
        <w:tc>
          <w:tcPr/>
          <w:p>
            <w:pPr>
              <w:pStyle w:val="Compact"/>
            </w:pPr>
            <w:r>
              <w:t xml:space="preserve">Firstfruits and firstborn — offer them without delay; firstborn sons and animals belong to the LORD</w:t>
            </w:r>
          </w:p>
        </w:tc>
        <w:tc>
          <w:tcPr/>
          <w:p>
            <w:pPr>
              <w:pStyle w:val="Compact"/>
            </w:pPr>
            <w:r>
              <w:t xml:space="preserve">Everything produced first belongs to God; consecration precedes consumption</w:t>
            </w:r>
          </w:p>
        </w:tc>
      </w:tr>
      <w:tr>
        <w:tc>
          <w:tcPr/>
          <w:p>
            <w:pPr>
              <w:pStyle w:val="Compact"/>
            </w:pPr>
            <w:r>
              <w:t xml:space="preserve">31</w:t>
            </w:r>
          </w:p>
        </w:tc>
        <w:tc>
          <w:tcPr/>
          <w:p>
            <w:pPr>
              <w:pStyle w:val="Compact"/>
            </w:pPr>
            <w:r>
              <w:t xml:space="preserve">Do not eat torn animal flesh — a holy people</w:t>
            </w:r>
          </w:p>
        </w:tc>
        <w:tc>
          <w:tcPr/>
          <w:p>
            <w:pPr>
              <w:pStyle w:val="Compact"/>
            </w:pPr>
            <w:r>
              <w:t xml:space="preserve">Holiness as dietary boundary — Israel’s separation to God marks even what they eat; the law closes with identity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1–15</w:t>
            </w:r>
          </w:p>
        </w:tc>
        <w:tc>
          <w:tcPr/>
          <w:p>
            <w:pPr>
              <w:pStyle w:val="Compact"/>
            </w:pPr>
            <w:r>
              <w:t xml:space="preserve">Property, Theft, and Restitution: The Economics of a Redeemed Community</w:t>
            </w:r>
          </w:p>
        </w:tc>
      </w:tr>
      <w:tr>
        <w:tc>
          <w:tcPr/>
          <w:p>
            <w:pPr>
              <w:pStyle w:val="Compact"/>
            </w:pPr>
            <w:r>
              <w:t xml:space="preserve">2</w:t>
            </w:r>
          </w:p>
        </w:tc>
        <w:tc>
          <w:tcPr/>
          <w:p>
            <w:pPr>
              <w:pStyle w:val="Compact"/>
            </w:pPr>
            <w:r>
              <w:t xml:space="preserve">16–17</w:t>
            </w:r>
          </w:p>
        </w:tc>
        <w:tc>
          <w:tcPr/>
          <w:p>
            <w:pPr>
              <w:pStyle w:val="Compact"/>
            </w:pPr>
            <w:r>
              <w:t xml:space="preserve">Sexual Violation and Accountability: Covenant Order in Marriage and Sexuality</w:t>
            </w:r>
          </w:p>
        </w:tc>
      </w:tr>
      <w:tr>
        <w:tc>
          <w:tcPr/>
          <w:p>
            <w:pPr>
              <w:pStyle w:val="Compact"/>
            </w:pPr>
            <w:r>
              <w:t xml:space="preserve">3</w:t>
            </w:r>
          </w:p>
        </w:tc>
        <w:tc>
          <w:tcPr/>
          <w:p>
            <w:pPr>
              <w:pStyle w:val="Compact"/>
            </w:pPr>
            <w:r>
              <w:t xml:space="preserve">18–20</w:t>
            </w:r>
          </w:p>
        </w:tc>
        <w:tc>
          <w:tcPr/>
          <w:p>
            <w:pPr>
              <w:pStyle w:val="Compact"/>
            </w:pPr>
            <w:r>
              <w:t xml:space="preserve">Capital Prohibitions: The Covenant Community’s Absolute Boundaries</w:t>
            </w:r>
          </w:p>
        </w:tc>
      </w:tr>
      <w:tr>
        <w:tc>
          <w:tcPr/>
          <w:p>
            <w:pPr>
              <w:pStyle w:val="Compact"/>
            </w:pPr>
            <w:r>
              <w:t xml:space="preserve">4</w:t>
            </w:r>
          </w:p>
        </w:tc>
        <w:tc>
          <w:tcPr/>
          <w:p>
            <w:pPr>
              <w:pStyle w:val="Compact"/>
            </w:pPr>
            <w:r>
              <w:t xml:space="preserve">21–27</w:t>
            </w:r>
          </w:p>
        </w:tc>
        <w:tc>
          <w:tcPr/>
          <w:p>
            <w:pPr>
              <w:pStyle w:val="Compact"/>
            </w:pPr>
            <w:r>
              <w:t xml:space="preserve">The Vulnerable in the Community: God Hears the Cry of the Oppressed</w:t>
            </w:r>
          </w:p>
        </w:tc>
      </w:tr>
      <w:tr>
        <w:tc>
          <w:tcPr/>
          <w:p>
            <w:pPr>
              <w:pStyle w:val="Compact"/>
            </w:pPr>
            <w:r>
              <w:t xml:space="preserve">5</w:t>
            </w:r>
          </w:p>
        </w:tc>
        <w:tc>
          <w:tcPr/>
          <w:p>
            <w:pPr>
              <w:pStyle w:val="Compact"/>
            </w:pPr>
            <w:r>
              <w:t xml:space="preserve">28–31</w:t>
            </w:r>
          </w:p>
        </w:tc>
        <w:tc>
          <w:tcPr/>
          <w:p>
            <w:pPr>
              <w:pStyle w:val="Compact"/>
            </w:pPr>
            <w:r>
              <w:t xml:space="preserve">Consecration and Identity: A Holy People Who Belong First to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Redeemed Israel is called to a community life that images God’s character — protecting the vulnerable, punishing violation, and consecrating all to the LORD.</w:t>
      </w:r>
    </w:p>
    <w:p>
      <w:pPr>
        <w:pStyle w:val="BodyText"/>
      </w:pPr>
      <w:r>
        <w:rPr>
          <w:b/>
          <w:bCs/>
        </w:rPr>
        <w:t xml:space="preserve">Primary Claim:</w:t>
      </w:r>
      <w:r>
        <w:t xml:space="preserve"> </w:t>
      </w:r>
      <w:r>
        <w:t xml:space="preserve">Because Israel has been redeemed by a God who hears the cry of the oppressed and is jealous for His own name, every dimension of their common life — property, sexuality, lending, worship — must bear the mark of that redemption; a community that exploits the vulnerable or tolerates covenant violation has not understood what it means to be saved.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possessions as belonging to a community, not isolated to yourself.</w:t>
      </w:r>
      <w:r>
        <w:t xml:space="preserve"> </w:t>
      </w:r>
      <w:r>
        <w:t xml:space="preserve">The restitution laws of vv. 1–15 assume that private property exists within a web of communal obligation — harm to a neighbor’s ox is not merely an economic transaction to settle but a covenant wrong to make right. The Christian who holds possessions as entirely private and autonomous, who asks only</w:t>
      </w:r>
      <w:r>
        <w:t xml:space="preserve"> </w:t>
      </w:r>
      <w:r>
        <w:t xml:space="preserve">“what is legally mine?”</w:t>
      </w:r>
      <w:r>
        <w:t xml:space="preserve"> </w:t>
      </w:r>
      <w:r>
        <w:t xml:space="preserve">rather than</w:t>
      </w:r>
      <w:r>
        <w:t xml:space="preserve"> </w:t>
      </w:r>
      <w:r>
        <w:t xml:space="preserve">“what does love and justice require of me toward my neighbor?”</w:t>
      </w:r>
      <w:r>
        <w:t xml:space="preserve">, has not yet allowed redemption to reach their wallet. Examine one area of your financial life this week where the question</w:t>
      </w:r>
      <w:r>
        <w:t xml:space="preserve"> </w:t>
      </w:r>
      <w:r>
        <w:t xml:space="preserve">“what do I owe?”</w:t>
      </w:r>
      <w:r>
        <w:t xml:space="preserve"> </w:t>
      </w:r>
      <w:r>
        <w:t xml:space="preserve">has replaced the question</w:t>
      </w:r>
      <w:r>
        <w:t xml:space="preserve"> </w:t>
      </w:r>
      <w:r>
        <w:t xml:space="preserve">“what does the neighbor need?”</w:t>
      </w:r>
    </w:p>
    <w:p>
      <w:pPr>
        <w:pStyle w:val="BodyText"/>
      </w:pPr>
      <w:r>
        <w:rPr>
          <w:b/>
          <w:bCs/>
        </w:rPr>
        <w:t xml:space="preserve">2. Let your memory of what God rescued you from govern how you treat the outsider.</w:t>
      </w:r>
      <w:r>
        <w:t xml:space="preserve"> </w:t>
      </w:r>
      <w:r>
        <w:t xml:space="preserve">The alien law of v. 21 is grounded not in sentiment but in memory:</w:t>
      </w:r>
      <w:r>
        <w:t xml:space="preserve"> </w:t>
      </w:r>
      <w:r>
        <w:t xml:space="preserve">“you were aliens in Egypt.”</w:t>
      </w:r>
      <w:r>
        <w:t xml:space="preserve"> </w:t>
      </w:r>
      <w:r>
        <w:t xml:space="preserve">Israel is commanded to feel what the alien feels because they know exactly what it is to be without protection, without standing, without advocate. The New Covenant community has an even deeper memory: we were not merely aliens from Egypt but</w:t>
      </w:r>
      <w:r>
        <w:t xml:space="preserve"> </w:t>
      </w:r>
      <w:r>
        <w:t xml:space="preserve">“strangers and aliens”</w:t>
      </w:r>
      <w:r>
        <w:t xml:space="preserve"> </w:t>
      </w:r>
      <w:r>
        <w:t xml:space="preserve">from God Himself (Ephesians 2:12), brought near by blood we did not shed. If you are cold toward the immigrant, the refugee, the social outsider in your congregation, you have forgotten what it was to be outside. Let the memory of grace undo the comfortable distance.</w:t>
      </w:r>
    </w:p>
    <w:p>
      <w:pPr>
        <w:pStyle w:val="BodyText"/>
      </w:pPr>
      <w:r>
        <w:rPr>
          <w:b/>
          <w:bCs/>
        </w:rPr>
        <w:t xml:space="preserve">3. Take seriously that God is personally attentive to those your community ignores.</w:t>
      </w:r>
      <w:r>
        <w:t xml:space="preserve"> </w:t>
      </w:r>
      <w:r>
        <w:t xml:space="preserve">Verses 22–27 are not mere social policy — they are a disclosure of God’s character. He hears. He sees the cloak taken in the night. His anger burns when the widow is afflicted. He calls Himself compassionate in the same breath as He describes the poor man’s cold night. The Christian who is comfortable in their church community, their social class, their income bracket, must reckon with the fact that the God they claim to worship is at this moment hearing the cries of people they are not hearing. This is not a guilt trip — it is a reorientation of worship. Ask:</w:t>
      </w:r>
      <w:r>
        <w:t xml:space="preserve"> </w:t>
      </w:r>
      <w:r>
        <w:t xml:space="preserve">“Is my picture of God large enough to include the people He is presently listening to?”</w:t>
      </w:r>
    </w:p>
    <w:p>
      <w:pPr>
        <w:pStyle w:val="BodyText"/>
      </w:pPr>
      <w:r>
        <w:rPr>
          <w:b/>
          <w:bCs/>
        </w:rPr>
        <w:t xml:space="preserve">4. Refuse every functional allegiance that competes with the LORD’s exclusive claim on your life.</w:t>
      </w:r>
      <w:r>
        <w:t xml:space="preserve"> </w:t>
      </w:r>
      <w:r>
        <w:t xml:space="preserve">The capital prohibitions of vv. 18–20 — sorcery, bestiality, idolatry — are not ancient oddities. They define the outer boundary of covenant identity: this community belongs wholly to the LORD, and no competing allegiance — spiritual, bodily, or worshipful — is tolerable. For the New Covenant believer, the form of the temptation changes but the structure does not. What do you turn to when the LORD seems absent or insufficient? What practice, source of comfort, or system of meaning functions as your operational god when the declared God feels too slow or too demanding? Name it. Bring it under the exclusive lordship of Christ.</w:t>
      </w:r>
    </w:p>
    <w:p>
      <w:pPr>
        <w:pStyle w:val="BodyText"/>
      </w:pPr>
      <w:r>
        <w:rPr>
          <w:b/>
          <w:bCs/>
        </w:rPr>
        <w:t xml:space="preserve">5. Offer the firstfruits of your time, attention, and income before you calculate what remains.</w:t>
      </w:r>
      <w:r>
        <w:t xml:space="preserve"> </w:t>
      </w:r>
      <w:r>
        <w:t xml:space="preserve">Verses 29–31 close the chapter with a consecration principle: what comes first belongs to God, offered without delay. This is not a fundraising strategy — it is a statement about identity. A people who give God their leftovers are a people who have made God a dependent on their surplus rather than the Lord of their life. Consecration logic says: give first, trust that what remains is sufficient, and live as a people who are defined by what they belong to, not what they accumulate. In your calendar, your financial giving, your energy — what does it look like to offer the firstfruits rather than the remainder?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22 is a primary Old Testament disclosure that God’s moral character is not abstract but socially specific — He is personally attentive to the widow’s tears, the alien’s vulnerability, and the poor man’s cold night. The laws of this chapter reveal a God who is not merely a heavenly legislator dispensing rules from a distance but a covenant LORD who personally guarantees justice when His community fails. The diversity of the chapter — property, sexuality, worship, lending — demonstrates that there is no domain of human life that falls outside the claim of covenant relationship. The moral unity beneath the legal diversity is this: the character of God, as Redeemer and as Lord, is the single foundation on which all the specific obligations rest. This passage is therefore not primarily a law text but a theology text — it teaches Israel (and us) who God is by showing what a community shaped by that God must look like.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22 illustrates with unusual clarity the Reformed principle that law is not the basis of relationship with God but the shape of life within that relationship. These laws are given to a redeemed people — not to earn redemption, but to display it. The repeated appeal to Israel’s Egypt-memory (v. 21) and to God’s character as Redeemer (v. 27) grounds every obligation in grace, not in merit-seeking. This is the Reformed antidote to moralism: these laws do not say</w:t>
      </w:r>
      <w:r>
        <w:t xml:space="preserve"> </w:t>
      </w:r>
      <w:r>
        <w:t xml:space="preserve">“do this and God will love you”</w:t>
      </w:r>
      <w:r>
        <w:t xml:space="preserve"> </w:t>
      </w:r>
      <w:r>
        <w:t xml:space="preserve">but</w:t>
      </w:r>
      <w:r>
        <w:t xml:space="preserve"> </w:t>
      </w:r>
      <w:r>
        <w:t xml:space="preserve">“because God has loved you and brought you out, this is what that love looks like in community.”</w:t>
      </w:r>
      <w:r>
        <w:t xml:space="preserve"> </w:t>
      </w:r>
      <w:r>
        <w:t xml:space="preserve">The Reformed threefold law distinction (moral/civil/ceremonial) is exercised by the preacher here: the specific civil penalties are theocratic applications now abrogated, but the moral equity — protect the vulnerable, hold possessions accountably, consecrate life entirely to God — retains permanent binding authority. The passage also reinforces the Reformed doctrine of common grace’s limits: a community that normalizes idolatry, sorcery, and exploitation of the poor has not merely broken rules but has fractured the covenantal image it was created to display. Finally, the firstfruits and firstborn laws of vv. 29–31 anticipate the New Covenant logic of Romans 12:1 —</w:t>
      </w:r>
      <w:r>
        <w:t xml:space="preserve"> </w:t>
      </w:r>
      <w:r>
        <w:t xml:space="preserve">“present your bodies as a living sacrifice”</w:t>
      </w:r>
      <w:r>
        <w:t xml:space="preserve"> </w:t>
      </w:r>
      <w:r>
        <w:t xml:space="preserve">— where total consecration to God is the only fitting response to the mercies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heard Israel’s cry in Egypt has not become less attentive. He hears the widow now. He sees the alien now. He is watching the cloak transaction and the interest rate and the idol on the shelf. Exodus 22 insists that you cannot claim the redemption and discard the Redeemer’s character — that you cannot receive mercy from God and dispense exploitation to the neighbor. The question this chapter puts to every congregation is not</w:t>
      </w:r>
      <w:r>
        <w:t xml:space="preserve"> </w:t>
      </w:r>
      <w:r>
        <w:t xml:space="preserve">“are you following the rules?”</w:t>
      </w:r>
      <w:r>
        <w:t xml:space="preserve"> </w:t>
      </w:r>
      <w:r>
        <w:t xml:space="preserve">but</w:t>
      </w:r>
      <w:r>
        <w:t xml:space="preserve"> </w:t>
      </w:r>
      <w:r>
        <w:t xml:space="preserve">“does your common life look like it was shaped by a God who hears the cry of the oppressed?”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miscellaneous legal appendix with no governing unity.</w:t>
      </w:r>
      <w:r>
        <w:t xml:space="preserve"> </w:t>
      </w:r>
      <w:r>
        <w:t xml:space="preserve">Exodus 22 is frequently preached — when it is preached at all — as a series of disconnected laws requiring verse-by-verse comment with no overarching claim. The preacher who does this will produce a survey lecture, not a sermon. The chapter has a governing logic: the character of the redeeming God is the ground of every specific obligation. Identify that logic first and let it structure the exposition.</w:t>
      </w:r>
    </w:p>
    <w:p>
      <w:pPr>
        <w:numPr>
          <w:ilvl w:val="0"/>
          <w:numId w:val="1002"/>
        </w:numPr>
      </w:pPr>
      <w:r>
        <w:rPr>
          <w:b/>
          <w:bCs/>
        </w:rPr>
        <w:t xml:space="preserve">Applying the civil penalties as directly binding today without hermeneutical clarification.</w:t>
      </w:r>
      <w:r>
        <w:t xml:space="preserve"> </w:t>
      </w:r>
      <w:r>
        <w:t xml:space="preserve">The death penalties for sorcery, bestiality, and idolatry (vv. 18–20) are among the most jarring texts in the chapter. Preachers sometimes either skip them entirely (avoidance) or cite them as the standard modern criminal law should meet (theonomic overreach). Neither serves the congregation. The Reformed move is to identify the moral equity — these covenant violations are serious enough to cost a life, which says something permanent and weighty about how God regards them — without asserting that modern magistrates are bound to the theocratic penalty structure of ancient Israel.</w:t>
      </w:r>
    </w:p>
    <w:p>
      <w:pPr>
        <w:numPr>
          <w:ilvl w:val="0"/>
          <w:numId w:val="1002"/>
        </w:numPr>
      </w:pPr>
      <w:r>
        <w:rPr>
          <w:b/>
          <w:bCs/>
        </w:rPr>
        <w:t xml:space="preserve">Preaching the alien/widow/orphan laws as a social justice programme detached from theology.</w:t>
      </w:r>
      <w:r>
        <w:t xml:space="preserve"> </w:t>
      </w:r>
      <w:r>
        <w:t xml:space="preserve">Verses 21–24 are frequently extracted and preached as a mandate for political activism or social reform, with God’s passionate defense of the vulnerable functioning as the moral centre of the chapter and little else. This is not wrong in its concern but incomplete in its grounding. The obligation to protect the alien flows from Israel’s redemptive memory and from the character of the God who hears the cry of the poor — not from a generic commitment to human dignity. Detach it from that grounding and you have moralised the text; keep it attached and you have preached the gospel.</w:t>
      </w:r>
    </w:p>
    <w:p>
      <w:pPr>
        <w:numPr>
          <w:ilvl w:val="0"/>
          <w:numId w:val="1002"/>
        </w:numPr>
      </w:pPr>
      <w:r>
        <w:rPr>
          <w:b/>
          <w:bCs/>
        </w:rPr>
        <w:t xml:space="preserve">Neglecting the firstfruits and consecration laws at the chapter’s close (vv. 28–31) as anti-climactic.</w:t>
      </w:r>
      <w:r>
        <w:t xml:space="preserve"> </w:t>
      </w:r>
      <w:r>
        <w:t xml:space="preserve">Many expositors front-load the alien/widow section and treat vv. 28–31 as a coda. In fact, the chapter’s movement from ethics to consecration is intentional and theologically significant: community ethics flow from and return to the worship of the LORD who owns everything. The chapter closes not with social concern but with identity —</w:t>
      </w:r>
      <w:r>
        <w:t xml:space="preserve"> </w:t>
      </w:r>
      <w:r>
        <w:t xml:space="preserve">“you shall be holy men to me.”</w:t>
      </w:r>
      <w:r>
        <w:t xml:space="preserve"> </w:t>
      </w:r>
      <w:r>
        <w:t xml:space="preserve">Miss this and you have turned the chapter’s ethics into humanitarianism rather than covenantal holiness.</w:t>
      </w:r>
    </w:p>
    <w:p>
      <w:pPr>
        <w:numPr>
          <w:ilvl w:val="0"/>
          <w:numId w:val="1002"/>
        </w:numPr>
      </w:pPr>
      <w:r>
        <w:rPr>
          <w:b/>
          <w:bCs/>
        </w:rPr>
        <w:t xml:space="preserve">Reducing the property laws (vv. 1–15) to ancient commercial regulations with no contemporary application.</w:t>
      </w:r>
      <w:r>
        <w:t xml:space="preserve"> </w:t>
      </w:r>
      <w:r>
        <w:t xml:space="preserve">The restitution laws encode a vision of economic life as communally embedded — harm to a neighbor’s property is a covenant offense, not merely a civil matter. The preacher who dismisses these as antiquated farming rules misses the opportunity to diagnose the hyper-individualistic property ethic that many Western Christians carry entirely unchallenged into their financial lives.</w:t>
      </w:r>
    </w:p>
    <w:p>
      <w:pPr>
        <w:numPr>
          <w:ilvl w:val="0"/>
          <w:numId w:val="1002"/>
        </w:numPr>
      </w:pPr>
      <w:r>
        <w:rPr>
          <w:b/>
          <w:bCs/>
        </w:rPr>
        <w:t xml:space="preserve">Failing to let God’s self-disclosure in verse 27 carry its full weight.</w:t>
      </w:r>
      <w:r>
        <w:t xml:space="preserve"> </w:t>
      </w:r>
      <w:r>
        <w:t xml:space="preserve">“I am compassionate”</w:t>
      </w:r>
      <w:r>
        <w:t xml:space="preserve"> </w:t>
      </w:r>
      <w:r>
        <w:t xml:space="preserve">— said in the context of a poor man’s pledged cloak returned by nightfall — is one of the most intimate divine self-disclosures in the Pentateuch. God does not merely command the return of the cloak; He reveals that He will hear the cry if it is not returned, because</w:t>
      </w:r>
      <w:r>
        <w:t xml:space="preserve"> </w:t>
      </w:r>
      <w:r>
        <w:rPr>
          <w:i/>
          <w:iCs/>
        </w:rPr>
        <w:t xml:space="preserve">He is compassionate.</w:t>
      </w:r>
      <w:r>
        <w:t xml:space="preserve"> </w:t>
      </w:r>
      <w:r>
        <w:t xml:space="preserve">This is the hermeneutical key to the whole chapter. The preacher who passes over v. 27 quickly has missed the passage’s deepest disclosure of God’s character.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2026-07-14T21:01:27Z</dcterms:created>
  <dcterms:modified xsi:type="dcterms:W3CDTF">2026-07-14T21:01:27Z</dcterms:modified>
</cp:coreProperties>
</file>

<file path=docProps/custom.xml><?xml version="1.0" encoding="utf-8"?>
<Properties xmlns="http://schemas.openxmlformats.org/officeDocument/2006/custom-properties" xmlns:vt="http://schemas.openxmlformats.org/officeDocument/2006/docPropsVTypes"/>
</file>